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CB7828">
      <w:pPr>
        <w:pBdr>
          <w:top w:val="none" w:color="000000" w:sz="0" w:space="7"/>
          <w:left w:val="none" w:color="000000" w:sz="0" w:space="0"/>
          <w:bottom w:val="none" w:color="000000" w:sz="0" w:space="0"/>
          <w:right w:val="none" w:color="000000" w:sz="0" w:space="0"/>
        </w:pBdr>
        <w:jc w:val="both"/>
        <w:rPr>
          <w:rFonts w:ascii="黑体" w:hAnsi="黑体" w:eastAsia="黑体" w:cs="黑体"/>
          <w:color w:val="000000"/>
          <w:sz w:val="32"/>
          <w:szCs w:val="32"/>
          <w:highlight w:val="none"/>
          <w:lang w:eastAsia="zh-CN"/>
        </w:rPr>
      </w:pPr>
      <w:r>
        <w:rPr>
          <w:rFonts w:ascii="黑体" w:hAnsi="黑体" w:eastAsia="黑体" w:cs="黑体"/>
          <w:color w:val="000000"/>
          <w:sz w:val="32"/>
          <w:lang w:eastAsia="zh-CN"/>
        </w:rPr>
        <w:t>附件</w:t>
      </w:r>
    </w:p>
    <w:p w14:paraId="55BFE94A">
      <w:pPr>
        <w:pBdr>
          <w:top w:val="none" w:color="000000" w:sz="0" w:space="7"/>
          <w:left w:val="none" w:color="000000" w:sz="0" w:space="0"/>
          <w:bottom w:val="none" w:color="000000" w:sz="0" w:space="0"/>
          <w:right w:val="none" w:color="000000" w:sz="0" w:space="0"/>
        </w:pBdr>
        <w:spacing w:line="559" w:lineRule="atLeast"/>
        <w:jc w:val="center"/>
        <w:rPr>
          <w:lang w:eastAsia="zh-CN"/>
        </w:rPr>
      </w:pPr>
      <w:bookmarkStart w:id="0" w:name="_GoBack"/>
      <w:r>
        <w:rPr>
          <w:rFonts w:ascii="方正小标宋简体" w:hAnsi="方正小标宋简体" w:eastAsia="方正小标宋简体" w:cs="方正小标宋简体"/>
          <w:color w:val="000000"/>
          <w:sz w:val="44"/>
          <w:lang w:eastAsia="zh-CN"/>
        </w:rPr>
        <w:t>青岛市企业应急引导基金服务体系</w:t>
      </w:r>
    </w:p>
    <w:p w14:paraId="35E9CC7C">
      <w:pPr>
        <w:pBdr>
          <w:top w:val="none" w:color="000000" w:sz="0" w:space="7"/>
          <w:left w:val="none" w:color="000000" w:sz="0" w:space="0"/>
          <w:bottom w:val="none" w:color="000000" w:sz="0" w:space="0"/>
          <w:right w:val="none" w:color="000000" w:sz="0" w:space="0"/>
        </w:pBdr>
        <w:spacing w:line="559" w:lineRule="atLeast"/>
        <w:jc w:val="center"/>
        <w:rPr>
          <w:lang w:eastAsia="zh-CN"/>
        </w:rPr>
      </w:pPr>
      <w:r>
        <w:rPr>
          <w:rFonts w:ascii="方正小标宋简体" w:hAnsi="方正小标宋简体" w:eastAsia="方正小标宋简体" w:cs="方正小标宋简体"/>
          <w:color w:val="000000"/>
          <w:sz w:val="44"/>
          <w:lang w:eastAsia="zh-CN"/>
        </w:rPr>
        <w:t>2024年第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lang w:val="en-US" w:eastAsia="zh-CN"/>
        </w:rPr>
        <w:t>二</w:t>
      </w:r>
      <w:r>
        <w:rPr>
          <w:rFonts w:ascii="方正小标宋简体" w:hAnsi="方正小标宋简体" w:eastAsia="方正小标宋简体" w:cs="方正小标宋简体"/>
          <w:color w:val="000000"/>
          <w:sz w:val="44"/>
          <w:lang w:eastAsia="zh-CN"/>
        </w:rPr>
        <w:t>批备案机构名单</w:t>
      </w:r>
    </w:p>
    <w:bookmarkEnd w:id="0"/>
    <w:p w14:paraId="73662E2E">
      <w:pPr>
        <w:pBdr>
          <w:top w:val="none" w:color="000000" w:sz="0" w:space="7"/>
          <w:left w:val="none" w:color="000000" w:sz="0" w:space="0"/>
          <w:bottom w:val="none" w:color="000000" w:sz="0" w:space="0"/>
          <w:right w:val="none" w:color="000000" w:sz="0" w:space="0"/>
        </w:pBdr>
        <w:spacing w:line="559" w:lineRule="atLeast"/>
        <w:ind w:firstLine="640"/>
        <w:jc w:val="both"/>
        <w:rPr>
          <w:lang w:eastAsia="zh-CN"/>
        </w:rPr>
      </w:pPr>
      <w:r>
        <w:rPr>
          <w:rFonts w:ascii="仿宋_GB2312" w:hAnsi="仿宋_GB2312" w:eastAsia="仿宋_GB2312" w:cs="仿宋_GB2312"/>
          <w:color w:val="000000"/>
          <w:sz w:val="32"/>
          <w:lang w:eastAsia="zh-CN"/>
        </w:rPr>
        <w:t> </w:t>
      </w:r>
    </w:p>
    <w:p w14:paraId="784AF72F">
      <w:pPr>
        <w:pBdr>
          <w:top w:val="none" w:color="000000" w:sz="0" w:space="7"/>
          <w:left w:val="none" w:color="000000" w:sz="0" w:space="0"/>
          <w:bottom w:val="none" w:color="000000" w:sz="0" w:space="0"/>
          <w:right w:val="none" w:color="000000" w:sz="0" w:space="0"/>
        </w:pBdr>
        <w:spacing w:line="560" w:lineRule="exact"/>
        <w:ind w:firstLine="641"/>
        <w:rPr>
          <w:rFonts w:ascii="仿宋_GB2312" w:hAnsi="仿宋_GB2312" w:eastAsia="仿宋_GB2312"/>
          <w:lang w:eastAsia="zh-CN"/>
        </w:rPr>
      </w:pPr>
      <w:r>
        <w:rPr>
          <w:rFonts w:ascii="仿宋_GB2312" w:hAnsi="仿宋_GB2312" w:eastAsia="仿宋_GB2312" w:cs="仿宋_GB2312"/>
          <w:color w:val="000000"/>
          <w:sz w:val="32"/>
          <w:lang w:eastAsia="zh-CN"/>
        </w:rPr>
        <w:t>（排名不分先后）</w:t>
      </w:r>
    </w:p>
    <w:p w14:paraId="5F091628">
      <w:pPr>
        <w:pBdr>
          <w:top w:val="none" w:color="000000" w:sz="0" w:space="7"/>
          <w:left w:val="none" w:color="000000" w:sz="0" w:space="0"/>
          <w:bottom w:val="none" w:color="000000" w:sz="0" w:space="0"/>
          <w:right w:val="none" w:color="000000" w:sz="0" w:space="0"/>
        </w:pBdr>
        <w:spacing w:line="560" w:lineRule="exact"/>
        <w:ind w:firstLine="641"/>
        <w:rPr>
          <w:rFonts w:hint="eastAsia" w:ascii="仿宋_GB2312" w:hAnsi="仿宋_GB2312" w:eastAsia="仿宋_GB2312" w:cs="仿宋_GB2312"/>
          <w:color w:val="000000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lang w:eastAsia="zh-CN"/>
        </w:rPr>
        <w:t>青岛黄发小额贷款有限公司</w:t>
      </w:r>
    </w:p>
    <w:p w14:paraId="781E674B">
      <w:pPr>
        <w:pBdr>
          <w:top w:val="none" w:color="000000" w:sz="0" w:space="7"/>
          <w:left w:val="none" w:color="000000" w:sz="0" w:space="0"/>
          <w:bottom w:val="none" w:color="000000" w:sz="0" w:space="0"/>
          <w:right w:val="none" w:color="000000" w:sz="0" w:space="0"/>
        </w:pBdr>
        <w:spacing w:line="560" w:lineRule="exact"/>
        <w:ind w:firstLine="641"/>
        <w:rPr>
          <w:rFonts w:ascii="仿宋_GB2312" w:hAnsi="仿宋_GB2312" w:eastAsia="仿宋_GB2312" w:cs="仿宋_GB2312"/>
          <w:color w:val="000000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lang w:eastAsia="zh-CN"/>
        </w:rPr>
        <w:t>青岛经联惠融企业服务有限公司</w:t>
      </w:r>
    </w:p>
    <w:p w14:paraId="4127AA3D">
      <w:pPr>
        <w:pBdr>
          <w:top w:val="none" w:color="000000" w:sz="0" w:space="7"/>
          <w:left w:val="none" w:color="000000" w:sz="0" w:space="0"/>
          <w:bottom w:val="none" w:color="000000" w:sz="0" w:space="0"/>
          <w:right w:val="none" w:color="000000" w:sz="0" w:space="0"/>
        </w:pBdr>
        <w:spacing w:line="560" w:lineRule="exact"/>
        <w:ind w:firstLine="641"/>
        <w:rPr>
          <w:rFonts w:hint="eastAsia" w:ascii="仿宋_GB2312" w:hAnsi="仿宋_GB2312" w:eastAsia="仿宋_GB2312" w:cs="仿宋_GB2312"/>
          <w:color w:val="000000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lang w:eastAsia="zh-CN"/>
        </w:rPr>
        <w:t>青岛财通普惠企业服务合伙企业（有限合伙）</w:t>
      </w:r>
    </w:p>
    <w:p w14:paraId="1459AFE5">
      <w:pPr>
        <w:pBdr>
          <w:top w:val="none" w:color="000000" w:sz="0" w:space="7"/>
          <w:left w:val="none" w:color="000000" w:sz="0" w:space="0"/>
          <w:bottom w:val="none" w:color="000000" w:sz="0" w:space="0"/>
          <w:right w:val="none" w:color="000000" w:sz="0" w:space="0"/>
        </w:pBdr>
        <w:spacing w:line="560" w:lineRule="exact"/>
        <w:ind w:firstLine="641"/>
        <w:rPr>
          <w:rFonts w:hint="eastAsia" w:ascii="仿宋_GB2312" w:hAnsi="仿宋_GB2312" w:eastAsia="仿宋_GB2312" w:cs="仿宋_GB2312"/>
          <w:color w:val="000000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lang w:eastAsia="zh-CN"/>
        </w:rPr>
        <w:t>青岛动车小镇锐安投资有限公司</w:t>
      </w:r>
    </w:p>
    <w:p w14:paraId="2A3DEABF">
      <w:pPr>
        <w:pBdr>
          <w:top w:val="none" w:color="000000" w:sz="0" w:space="7"/>
          <w:left w:val="none" w:color="000000" w:sz="0" w:space="0"/>
          <w:bottom w:val="none" w:color="000000" w:sz="0" w:space="0"/>
          <w:right w:val="none" w:color="000000" w:sz="0" w:space="0"/>
        </w:pBdr>
        <w:spacing w:line="560" w:lineRule="exact"/>
        <w:ind w:firstLine="641"/>
        <w:rPr>
          <w:rFonts w:hint="eastAsia" w:ascii="仿宋_GB2312" w:hAnsi="仿宋_GB2312" w:eastAsia="仿宋_GB2312" w:cs="仿宋_GB2312"/>
          <w:color w:val="000000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lang w:eastAsia="zh-CN"/>
        </w:rPr>
        <w:t>青岛诚开投资控股有限公司</w:t>
      </w:r>
    </w:p>
    <w:p w14:paraId="7F923A00">
      <w:pPr>
        <w:pBdr>
          <w:top w:val="none" w:color="000000" w:sz="0" w:space="7"/>
          <w:left w:val="none" w:color="000000" w:sz="0" w:space="0"/>
          <w:bottom w:val="none" w:color="000000" w:sz="0" w:space="0"/>
          <w:right w:val="none" w:color="000000" w:sz="0" w:space="0"/>
        </w:pBdr>
        <w:spacing w:line="560" w:lineRule="exact"/>
        <w:ind w:firstLine="641"/>
        <w:rPr>
          <w:rFonts w:hint="eastAsia" w:ascii="仿宋_GB2312" w:hAnsi="仿宋_GB2312" w:eastAsia="仿宋_GB2312" w:cs="仿宋_GB2312"/>
          <w:color w:val="000000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lang w:eastAsia="zh-CN"/>
        </w:rPr>
        <w:t>山东海容应急转贷产业投资有限公司</w:t>
      </w:r>
    </w:p>
    <w:p w14:paraId="10C6FBE9">
      <w:pPr>
        <w:pBdr>
          <w:top w:val="none" w:color="000000" w:sz="0" w:space="7"/>
          <w:left w:val="none" w:color="000000" w:sz="0" w:space="0"/>
          <w:bottom w:val="none" w:color="000000" w:sz="0" w:space="0"/>
          <w:right w:val="none" w:color="000000" w:sz="0" w:space="0"/>
        </w:pBdr>
        <w:spacing w:line="560" w:lineRule="exact"/>
        <w:ind w:firstLine="641"/>
        <w:rPr>
          <w:rFonts w:hint="eastAsia" w:ascii="仿宋_GB2312" w:hAnsi="仿宋_GB2312" w:eastAsia="仿宋_GB2312" w:cs="仿宋_GB2312"/>
          <w:color w:val="000000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lang w:eastAsia="zh-CN"/>
        </w:rPr>
        <w:t>山东甘雨林投资有限公司</w:t>
      </w:r>
    </w:p>
    <w:p w14:paraId="54B01485">
      <w:pPr>
        <w:pBdr>
          <w:top w:val="none" w:color="000000" w:sz="0" w:space="7"/>
          <w:left w:val="none" w:color="000000" w:sz="0" w:space="0"/>
          <w:bottom w:val="none" w:color="000000" w:sz="0" w:space="0"/>
          <w:right w:val="none" w:color="000000" w:sz="0" w:space="0"/>
        </w:pBdr>
        <w:spacing w:line="560" w:lineRule="exact"/>
        <w:ind w:firstLine="641"/>
        <w:rPr>
          <w:rFonts w:hint="eastAsia" w:ascii="仿宋_GB2312" w:hAnsi="仿宋_GB2312" w:eastAsia="仿宋_GB2312" w:cs="仿宋_GB2312"/>
          <w:color w:val="000000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lang w:eastAsia="zh-CN"/>
        </w:rPr>
        <w:t>长烽数智科技（山东）有限公司</w:t>
      </w:r>
    </w:p>
    <w:p w14:paraId="6F1FA204">
      <w:pPr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